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B5" w:rsidRPr="00BD274B" w:rsidRDefault="000B18B5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D274B">
        <w:rPr>
          <w:rFonts w:ascii="Arial" w:hAnsi="Arial" w:cs="Arial"/>
          <w:sz w:val="22"/>
          <w:szCs w:val="22"/>
        </w:rPr>
        <w:t>Hull Churches Housing Association</w:t>
      </w:r>
    </w:p>
    <w:p w:rsidR="000B18B5" w:rsidRPr="00BD274B" w:rsidRDefault="000B18B5">
      <w:pPr>
        <w:jc w:val="center"/>
        <w:rPr>
          <w:rFonts w:ascii="Arial" w:hAnsi="Arial" w:cs="Arial"/>
          <w:b/>
          <w:sz w:val="22"/>
          <w:szCs w:val="22"/>
        </w:rPr>
      </w:pPr>
      <w:r w:rsidRPr="00BD274B">
        <w:rPr>
          <w:rFonts w:ascii="Arial" w:hAnsi="Arial" w:cs="Arial"/>
          <w:b/>
          <w:sz w:val="22"/>
          <w:szCs w:val="22"/>
        </w:rPr>
        <w:t>Job Description</w:t>
      </w:r>
    </w:p>
    <w:p w:rsidR="000B18B5" w:rsidRPr="00BD274B" w:rsidRDefault="000B18B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26" w:type="dxa"/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5299"/>
      </w:tblGrid>
      <w:tr w:rsidR="005F2F0B" w:rsidRPr="00BD274B" w:rsidTr="005F2F0B"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ockticker">
              <w:r w:rsidRPr="00BD274B">
                <w:rPr>
                  <w:rFonts w:ascii="Arial" w:hAnsi="Arial" w:cs="Arial"/>
                  <w:b/>
                  <w:sz w:val="22"/>
                  <w:szCs w:val="22"/>
                </w:rPr>
                <w:t>JOB</w:t>
              </w:r>
            </w:smartTag>
            <w:r w:rsidRPr="00BD274B">
              <w:rPr>
                <w:rFonts w:ascii="Arial" w:hAnsi="Arial" w:cs="Arial"/>
                <w:b/>
                <w:sz w:val="22"/>
                <w:szCs w:val="22"/>
              </w:rPr>
              <w:t xml:space="preserve"> TITLE :</w:t>
            </w:r>
          </w:p>
        </w:tc>
        <w:tc>
          <w:tcPr>
            <w:tcW w:w="5299" w:type="dxa"/>
          </w:tcPr>
          <w:p w:rsidR="005F2F0B" w:rsidRPr="00BD274B" w:rsidRDefault="004843A8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Housing Officer</w:t>
            </w:r>
            <w:r w:rsidR="005F2F0B" w:rsidRPr="00BD27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0B" w:rsidRPr="00BD274B" w:rsidTr="005F2F0B"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5299" w:type="dxa"/>
          </w:tcPr>
          <w:p w:rsidR="005F2F0B" w:rsidRPr="00BD274B" w:rsidRDefault="004843A8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Housing Manager</w:t>
            </w:r>
          </w:p>
          <w:p w:rsidR="00732141" w:rsidRPr="00BD274B" w:rsidRDefault="00732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0B" w:rsidRPr="00BD274B" w:rsidTr="005F2F0B"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</w:tc>
        <w:tc>
          <w:tcPr>
            <w:tcW w:w="5299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0B" w:rsidRPr="00BD274B" w:rsidTr="005F2F0B"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 xml:space="preserve">HOURS OF </w:t>
            </w:r>
            <w:smartTag w:uri="urn:schemas-microsoft-com:office:smarttags" w:element="stockticker">
              <w:r w:rsidRPr="00BD274B">
                <w:rPr>
                  <w:rFonts w:ascii="Arial" w:hAnsi="Arial" w:cs="Arial"/>
                  <w:b/>
                  <w:sz w:val="22"/>
                  <w:szCs w:val="22"/>
                </w:rPr>
                <w:t>WORK</w:t>
              </w:r>
            </w:smartTag>
            <w:r w:rsidRPr="00BD274B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5299" w:type="dxa"/>
          </w:tcPr>
          <w:p w:rsidR="005F2F0B" w:rsidRPr="00BD274B" w:rsidRDefault="001E7F21" w:rsidP="00FD07A4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37 hours per week</w:t>
            </w:r>
            <w:r w:rsidR="00FF4C61" w:rsidRPr="00BD274B">
              <w:rPr>
                <w:rFonts w:ascii="Arial" w:hAnsi="Arial" w:cs="Arial"/>
                <w:sz w:val="22"/>
                <w:szCs w:val="22"/>
              </w:rPr>
              <w:t xml:space="preserve"> with core hours Monday to Friday, with out-of-hours working and emergency call-out to meet tenant needs</w:t>
            </w:r>
          </w:p>
          <w:p w:rsidR="005F2F0B" w:rsidRPr="00BD274B" w:rsidRDefault="005F2F0B" w:rsidP="00FD07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0B" w:rsidRPr="00BD274B" w:rsidTr="005F2F0B"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ockticker">
              <w:r w:rsidRPr="00BD274B">
                <w:rPr>
                  <w:rFonts w:ascii="Arial" w:hAnsi="Arial" w:cs="Arial"/>
                  <w:b/>
                  <w:sz w:val="22"/>
                  <w:szCs w:val="22"/>
                </w:rPr>
                <w:t>JOB</w:t>
              </w:r>
            </w:smartTag>
            <w:r w:rsidRPr="00BD274B">
              <w:rPr>
                <w:rFonts w:ascii="Arial" w:hAnsi="Arial" w:cs="Arial"/>
                <w:b/>
                <w:sz w:val="22"/>
                <w:szCs w:val="22"/>
              </w:rPr>
              <w:t xml:space="preserve"> LOCATION :</w:t>
            </w:r>
          </w:p>
        </w:tc>
        <w:tc>
          <w:tcPr>
            <w:tcW w:w="5299" w:type="dxa"/>
          </w:tcPr>
          <w:p w:rsidR="005F2F0B" w:rsidRDefault="005F2F0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31 Beverley Road, Hull HU3 1XH</w:t>
            </w:r>
          </w:p>
          <w:p w:rsidR="00C81737" w:rsidRPr="00BD274B" w:rsidRDefault="00C8173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0B" w:rsidRPr="00BD274B" w:rsidTr="005F2F0B"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1" w:type="dxa"/>
            <w:gridSpan w:val="2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2F0B" w:rsidRPr="00BD274B" w:rsidTr="005F2F0B"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7851" w:type="dxa"/>
            <w:gridSpan w:val="2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ockticker">
              <w:r w:rsidRPr="00BD274B">
                <w:rPr>
                  <w:rFonts w:ascii="Arial" w:hAnsi="Arial" w:cs="Arial"/>
                  <w:b/>
                  <w:sz w:val="22"/>
                  <w:szCs w:val="22"/>
                </w:rPr>
                <w:t>JOB</w:t>
              </w:r>
            </w:smartTag>
            <w:r w:rsidRPr="00BD274B">
              <w:rPr>
                <w:rFonts w:ascii="Arial" w:hAnsi="Arial" w:cs="Arial"/>
                <w:b/>
                <w:sz w:val="22"/>
                <w:szCs w:val="22"/>
              </w:rPr>
              <w:t xml:space="preserve"> PURPOSE &amp; RESPONSIBILITIES:</w:t>
            </w:r>
          </w:p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7851" w:type="dxa"/>
            <w:gridSpan w:val="2"/>
          </w:tcPr>
          <w:p w:rsidR="005F2F0B" w:rsidRPr="00BD274B" w:rsidRDefault="006C5D45" w:rsidP="006A1F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To provide a customer-focussed effective and efficient housing management service to HCHA residents and applicants.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  <w:gridSpan w:val="2"/>
          </w:tcPr>
          <w:p w:rsidR="005F2F0B" w:rsidRPr="00BD274B" w:rsidRDefault="005F2F0B" w:rsidP="006A1F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7851" w:type="dxa"/>
            <w:gridSpan w:val="2"/>
          </w:tcPr>
          <w:p w:rsidR="005F2F0B" w:rsidRPr="00BD274B" w:rsidRDefault="007173A2" w:rsidP="006A1F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Provides cover, in staff absence, for priority services such as response repairs reporting.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1" w:type="dxa"/>
            <w:gridSpan w:val="2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7851" w:type="dxa"/>
            <w:gridSpan w:val="2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 xml:space="preserve">DECISION MAKING : </w:t>
            </w:r>
          </w:p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7851" w:type="dxa"/>
            <w:gridSpan w:val="2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Operates within parameters defined by the Association’s policies and procedures and guidelines agreed.</w:t>
            </w:r>
          </w:p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7851" w:type="dxa"/>
            <w:gridSpan w:val="2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May be required to use judgement / discretion in dealing with non-routine matters for which there may not be a readily available precedent.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1" w:type="dxa"/>
            <w:gridSpan w:val="2"/>
          </w:tcPr>
          <w:p w:rsidR="005F2F0B" w:rsidRPr="00BD274B" w:rsidRDefault="005F2F0B" w:rsidP="009E51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7851" w:type="dxa"/>
            <w:gridSpan w:val="2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ockticker">
              <w:r w:rsidRPr="00BD274B">
                <w:rPr>
                  <w:rFonts w:ascii="Arial" w:hAnsi="Arial" w:cs="Arial"/>
                  <w:b/>
                  <w:sz w:val="22"/>
                  <w:szCs w:val="22"/>
                </w:rPr>
                <w:t>MAIN</w:t>
              </w:r>
            </w:smartTag>
            <w:r w:rsidRPr="00BD274B">
              <w:rPr>
                <w:rFonts w:ascii="Arial" w:hAnsi="Arial" w:cs="Arial"/>
                <w:b/>
                <w:sz w:val="22"/>
                <w:szCs w:val="22"/>
              </w:rPr>
              <w:t xml:space="preserve"> TASKS : </w:t>
            </w:r>
          </w:p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  <w:gridSpan w:val="2"/>
          </w:tcPr>
          <w:p w:rsidR="005F2F0B" w:rsidRPr="00BD274B" w:rsidRDefault="006C5D45" w:rsidP="006A0AB0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Allocations and Lettings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7851" w:type="dxa"/>
            <w:gridSpan w:val="2"/>
          </w:tcPr>
          <w:p w:rsidR="005F2F0B" w:rsidRPr="00BD274B" w:rsidRDefault="006C5D45" w:rsidP="00FE56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Carry out home visits and assess potential new residents</w:t>
            </w:r>
            <w:r w:rsidR="00FE56A0" w:rsidRPr="00BD274B">
              <w:rPr>
                <w:rFonts w:ascii="Arial" w:hAnsi="Arial" w:cs="Arial"/>
                <w:sz w:val="22"/>
                <w:szCs w:val="22"/>
              </w:rPr>
              <w:t>.</w:t>
            </w:r>
            <w:r w:rsidRPr="00BD27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56A0" w:rsidRPr="00BD274B">
              <w:rPr>
                <w:rFonts w:ascii="Arial" w:hAnsi="Arial" w:cs="Arial"/>
                <w:sz w:val="22"/>
                <w:szCs w:val="22"/>
              </w:rPr>
              <w:t>Following assessment, make recommendations to</w:t>
            </w:r>
            <w:r w:rsidRPr="00BD274B">
              <w:rPr>
                <w:rFonts w:ascii="Arial" w:hAnsi="Arial" w:cs="Arial"/>
                <w:sz w:val="22"/>
                <w:szCs w:val="22"/>
              </w:rPr>
              <w:t xml:space="preserve"> the Housing Manager</w:t>
            </w:r>
            <w:r w:rsidR="00FE56A0" w:rsidRPr="00BD274B">
              <w:rPr>
                <w:rFonts w:ascii="Arial" w:hAnsi="Arial" w:cs="Arial"/>
                <w:sz w:val="22"/>
                <w:szCs w:val="22"/>
              </w:rPr>
              <w:t xml:space="preserve"> for allocations decisions</w:t>
            </w:r>
            <w:r w:rsidRPr="00BD27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  <w:gridSpan w:val="2"/>
          </w:tcPr>
          <w:p w:rsidR="005F2F0B" w:rsidRPr="00BD274B" w:rsidRDefault="005F2F0B" w:rsidP="005455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1D618F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7851" w:type="dxa"/>
            <w:gridSpan w:val="2"/>
          </w:tcPr>
          <w:p w:rsidR="005F2F0B" w:rsidRPr="00BD274B" w:rsidRDefault="006C5D45" w:rsidP="0054551D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Sign up new residents, ensuring that all information, including the rights and responsibilities of the tenancy agreement is received and understood, including making arrangements for payment of rent.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  <w:gridSpan w:val="2"/>
          </w:tcPr>
          <w:p w:rsidR="005F2F0B" w:rsidRPr="00BD274B" w:rsidRDefault="005F2F0B" w:rsidP="005455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1D618F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7851" w:type="dxa"/>
            <w:gridSpan w:val="2"/>
          </w:tcPr>
          <w:p w:rsidR="005F2F0B" w:rsidRPr="00BD274B" w:rsidRDefault="00E563A2" w:rsidP="0054551D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Provide a post-tenancy support service to new tenants</w:t>
            </w:r>
            <w:r w:rsidR="00FE56A0" w:rsidRPr="00BD274B">
              <w:rPr>
                <w:rFonts w:ascii="Arial" w:hAnsi="Arial" w:cs="Arial"/>
                <w:sz w:val="22"/>
                <w:szCs w:val="22"/>
              </w:rPr>
              <w:t xml:space="preserve">, and monitor </w:t>
            </w:r>
            <w:r w:rsidR="006C5D45" w:rsidRPr="00BD274B">
              <w:rPr>
                <w:rFonts w:ascii="Arial" w:hAnsi="Arial" w:cs="Arial"/>
                <w:sz w:val="22"/>
                <w:szCs w:val="22"/>
              </w:rPr>
              <w:t>probationary tenancies during the first year.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  <w:gridSpan w:val="2"/>
          </w:tcPr>
          <w:p w:rsidR="005F2F0B" w:rsidRPr="00BD274B" w:rsidRDefault="005F2F0B" w:rsidP="005455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B06" w:rsidRPr="00BD274B" w:rsidTr="005F2F0B">
        <w:trPr>
          <w:cantSplit/>
        </w:trPr>
        <w:tc>
          <w:tcPr>
            <w:tcW w:w="675" w:type="dxa"/>
          </w:tcPr>
          <w:p w:rsidR="00AE1B06" w:rsidRPr="00BD274B" w:rsidRDefault="001D618F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7851" w:type="dxa"/>
            <w:gridSpan w:val="2"/>
          </w:tcPr>
          <w:p w:rsidR="00AE1B06" w:rsidRPr="00BD274B" w:rsidRDefault="00E563A2" w:rsidP="001126E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Advise existing tenants on transfers and exchanges, liaising with other providers, and make recommendations for approval by the Housing Manager.</w:t>
            </w:r>
          </w:p>
        </w:tc>
      </w:tr>
    </w:tbl>
    <w:p w:rsidR="001F5901" w:rsidRDefault="001F5901">
      <w:r>
        <w:br w:type="page"/>
      </w:r>
    </w:p>
    <w:tbl>
      <w:tblPr>
        <w:tblW w:w="8526" w:type="dxa"/>
        <w:tblLayout w:type="fixed"/>
        <w:tblLook w:val="0000" w:firstRow="0" w:lastRow="0" w:firstColumn="0" w:lastColumn="0" w:noHBand="0" w:noVBand="0"/>
      </w:tblPr>
      <w:tblGrid>
        <w:gridCol w:w="675"/>
        <w:gridCol w:w="7851"/>
      </w:tblGrid>
      <w:tr w:rsidR="00AE1B06" w:rsidRPr="00BD274B" w:rsidTr="005F2F0B">
        <w:trPr>
          <w:cantSplit/>
        </w:trPr>
        <w:tc>
          <w:tcPr>
            <w:tcW w:w="675" w:type="dxa"/>
          </w:tcPr>
          <w:p w:rsidR="00AE1B06" w:rsidRPr="00BD274B" w:rsidRDefault="00AE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</w:tcPr>
          <w:p w:rsidR="00E563A2" w:rsidRPr="00BD274B" w:rsidRDefault="00E563A2" w:rsidP="005455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Rent and Income Management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1D618F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8.5</w:t>
            </w:r>
          </w:p>
        </w:tc>
        <w:tc>
          <w:tcPr>
            <w:tcW w:w="7851" w:type="dxa"/>
          </w:tcPr>
          <w:p w:rsidR="005F2F0B" w:rsidRPr="00BD274B" w:rsidRDefault="00E563A2" w:rsidP="0054551D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Work proactively to maximise rental income and control rent arrears by:</w:t>
            </w:r>
          </w:p>
          <w:p w:rsidR="00E563A2" w:rsidRPr="00BD274B" w:rsidRDefault="00E563A2" w:rsidP="00E563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Monitoring rent accounts on a weekly basis</w:t>
            </w:r>
          </w:p>
          <w:p w:rsidR="00E563A2" w:rsidRPr="00BD274B" w:rsidRDefault="00E563A2" w:rsidP="00E563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Advising tenants with regard to rent payment methods</w:t>
            </w:r>
          </w:p>
          <w:p w:rsidR="00E563A2" w:rsidRPr="00BD274B" w:rsidRDefault="00E563A2" w:rsidP="00E563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Making early and personalised intervention</w:t>
            </w:r>
          </w:p>
          <w:p w:rsidR="00E563A2" w:rsidRPr="00BD274B" w:rsidRDefault="00E563A2" w:rsidP="00E563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Maximising income and benefits entitlement for tenants</w:t>
            </w:r>
          </w:p>
          <w:p w:rsidR="00E563A2" w:rsidRPr="00BD274B" w:rsidRDefault="00E563A2" w:rsidP="00E563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Advising and sign-posting tenants with regard to income and debt management</w:t>
            </w:r>
          </w:p>
          <w:p w:rsidR="00E563A2" w:rsidRPr="00BD274B" w:rsidRDefault="00E563A2" w:rsidP="00E563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Advising tenants and agreeing and monitoring arrears arrangements</w:t>
            </w:r>
          </w:p>
          <w:p w:rsidR="00E563A2" w:rsidRPr="00BD274B" w:rsidRDefault="00E563A2" w:rsidP="00E563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Under the direction of the Housing Manager, initiating legal action, including service of notices and representation at Court hearings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</w:tcPr>
          <w:p w:rsidR="005F2F0B" w:rsidRPr="00BD274B" w:rsidRDefault="005F2F0B" w:rsidP="00545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C2D" w:rsidRPr="00BD274B" w:rsidRDefault="00666C2D" w:rsidP="005455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Tenancy Management</w:t>
            </w:r>
          </w:p>
        </w:tc>
      </w:tr>
      <w:tr w:rsidR="001126EB" w:rsidRPr="00BD274B" w:rsidTr="005F2F0B">
        <w:trPr>
          <w:cantSplit/>
        </w:trPr>
        <w:tc>
          <w:tcPr>
            <w:tcW w:w="675" w:type="dxa"/>
          </w:tcPr>
          <w:p w:rsidR="001126EB" w:rsidRPr="00BD274B" w:rsidRDefault="001126E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7851" w:type="dxa"/>
          </w:tcPr>
          <w:p w:rsidR="001126EB" w:rsidRPr="00BD274B" w:rsidRDefault="00666C2D" w:rsidP="00666C2D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 xml:space="preserve">Assist the Housing Manager with the investigation of complaints, anti-social behaviour, and breaches of tenancy. </w:t>
            </w:r>
          </w:p>
        </w:tc>
      </w:tr>
      <w:tr w:rsidR="00A95E29" w:rsidRPr="00BD274B" w:rsidTr="005F2F0B">
        <w:trPr>
          <w:cantSplit/>
        </w:trPr>
        <w:tc>
          <w:tcPr>
            <w:tcW w:w="675" w:type="dxa"/>
          </w:tcPr>
          <w:p w:rsidR="00A95E29" w:rsidRPr="00BD274B" w:rsidRDefault="00A95E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</w:tcPr>
          <w:p w:rsidR="00A95E29" w:rsidRPr="00BD274B" w:rsidRDefault="00A95E29" w:rsidP="00614F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1D618F" w:rsidP="00081088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8.</w:t>
            </w:r>
            <w:r w:rsidR="00081088" w:rsidRPr="00BD27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51" w:type="dxa"/>
          </w:tcPr>
          <w:p w:rsidR="005F2F0B" w:rsidRPr="00BD274B" w:rsidRDefault="00666C2D" w:rsidP="00614F61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Respond to enquiries concerning all tenancy matters in liaison with the Housing Manager and external agencies as required.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</w:tcPr>
          <w:p w:rsidR="005F2F0B" w:rsidRPr="00BD274B" w:rsidRDefault="005F2F0B" w:rsidP="0054551D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C2D" w:rsidRPr="00BD274B" w:rsidRDefault="00666C2D" w:rsidP="005455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Resident Involvement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1D618F" w:rsidP="00081088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8.</w:t>
            </w:r>
            <w:r w:rsidR="00081088" w:rsidRPr="00BD274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51" w:type="dxa"/>
          </w:tcPr>
          <w:p w:rsidR="005F2F0B" w:rsidRPr="00BD274B" w:rsidRDefault="00666C2D" w:rsidP="005466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 xml:space="preserve">Participate in all resident involvement activities as required in all aspects of service delivery, including consultation meetings, </w:t>
            </w:r>
            <w:r w:rsidR="002C2400" w:rsidRPr="00BD274B">
              <w:rPr>
                <w:rFonts w:ascii="Arial" w:hAnsi="Arial" w:cs="Arial"/>
                <w:sz w:val="22"/>
                <w:szCs w:val="22"/>
              </w:rPr>
              <w:t xml:space="preserve">developing and analysing </w:t>
            </w:r>
            <w:r w:rsidRPr="00BD274B">
              <w:rPr>
                <w:rFonts w:ascii="Arial" w:hAnsi="Arial" w:cs="Arial"/>
                <w:sz w:val="22"/>
                <w:szCs w:val="22"/>
              </w:rPr>
              <w:t>questionnaires and surveys.</w:t>
            </w:r>
          </w:p>
        </w:tc>
      </w:tr>
      <w:tr w:rsidR="007173A2" w:rsidRPr="00BD274B" w:rsidTr="005F2F0B">
        <w:trPr>
          <w:cantSplit/>
        </w:trPr>
        <w:tc>
          <w:tcPr>
            <w:tcW w:w="675" w:type="dxa"/>
          </w:tcPr>
          <w:p w:rsidR="007173A2" w:rsidRPr="00BD274B" w:rsidRDefault="00717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</w:tcPr>
          <w:p w:rsidR="007173A2" w:rsidRPr="00BD274B" w:rsidRDefault="007173A2" w:rsidP="005455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3A2" w:rsidRPr="00BD274B" w:rsidTr="005F2F0B">
        <w:trPr>
          <w:cantSplit/>
        </w:trPr>
        <w:tc>
          <w:tcPr>
            <w:tcW w:w="675" w:type="dxa"/>
          </w:tcPr>
          <w:p w:rsidR="007173A2" w:rsidRPr="00BD274B" w:rsidRDefault="007173A2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8.9</w:t>
            </w:r>
          </w:p>
        </w:tc>
        <w:tc>
          <w:tcPr>
            <w:tcW w:w="7851" w:type="dxa"/>
          </w:tcPr>
          <w:p w:rsidR="007173A2" w:rsidRPr="00BD274B" w:rsidRDefault="007173A2" w:rsidP="0054551D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Instigates and develops means of communication, consultations, and interactions with tenants, utilising developments in technology</w:t>
            </w:r>
            <w:r w:rsidR="002C2400" w:rsidRPr="00BD274B">
              <w:rPr>
                <w:rFonts w:ascii="Arial" w:hAnsi="Arial" w:cs="Arial"/>
                <w:sz w:val="22"/>
                <w:szCs w:val="22"/>
              </w:rPr>
              <w:t>, and produces tenant bulletin.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</w:tcPr>
          <w:p w:rsidR="005F2F0B" w:rsidRPr="00BD274B" w:rsidRDefault="005F2F0B" w:rsidP="005455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EB8" w:rsidRPr="00BD274B" w:rsidTr="005F2F0B">
        <w:trPr>
          <w:cantSplit/>
        </w:trPr>
        <w:tc>
          <w:tcPr>
            <w:tcW w:w="675" w:type="dxa"/>
          </w:tcPr>
          <w:p w:rsidR="00992EB8" w:rsidRPr="00BD274B" w:rsidRDefault="0099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</w:tcPr>
          <w:p w:rsidR="00992EB8" w:rsidRPr="00BD274B" w:rsidRDefault="00D71159" w:rsidP="00FB1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Service Development</w:t>
            </w:r>
          </w:p>
        </w:tc>
      </w:tr>
      <w:tr w:rsidR="00992EB8" w:rsidRPr="00BD274B" w:rsidTr="005F2F0B">
        <w:trPr>
          <w:cantSplit/>
        </w:trPr>
        <w:tc>
          <w:tcPr>
            <w:tcW w:w="675" w:type="dxa"/>
          </w:tcPr>
          <w:p w:rsidR="00992EB8" w:rsidRPr="00BD274B" w:rsidRDefault="007173A2" w:rsidP="00081088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8.10</w:t>
            </w:r>
          </w:p>
        </w:tc>
        <w:tc>
          <w:tcPr>
            <w:tcW w:w="7851" w:type="dxa"/>
          </w:tcPr>
          <w:p w:rsidR="00992EB8" w:rsidRPr="00BD274B" w:rsidRDefault="00D71159" w:rsidP="00FB1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In conjunction with the Housing Manager, to keep abreast of changes in legislation, development of good practice and innovation, particularly in relation to Welfare Reform, Digital Inclusion and communicati</w:t>
            </w:r>
            <w:r w:rsidR="007173A2" w:rsidRPr="00BD274B">
              <w:rPr>
                <w:rFonts w:ascii="Arial" w:hAnsi="Arial" w:cs="Arial"/>
                <w:sz w:val="22"/>
                <w:szCs w:val="22"/>
              </w:rPr>
              <w:t>on and interaction with tenants, sharing and cascading information to other staff.</w:t>
            </w:r>
          </w:p>
        </w:tc>
      </w:tr>
      <w:tr w:rsidR="00081088" w:rsidRPr="00BD274B" w:rsidTr="005F2F0B">
        <w:trPr>
          <w:cantSplit/>
        </w:trPr>
        <w:tc>
          <w:tcPr>
            <w:tcW w:w="675" w:type="dxa"/>
          </w:tcPr>
          <w:p w:rsidR="00081088" w:rsidRPr="00BD274B" w:rsidRDefault="00081088" w:rsidP="00081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</w:tcPr>
          <w:p w:rsidR="00081088" w:rsidRPr="00BD274B" w:rsidRDefault="00081088" w:rsidP="00FB1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C61" w:rsidRPr="00BD274B" w:rsidTr="005F2F0B">
        <w:trPr>
          <w:cantSplit/>
        </w:trPr>
        <w:tc>
          <w:tcPr>
            <w:tcW w:w="675" w:type="dxa"/>
          </w:tcPr>
          <w:p w:rsidR="00FF4C61" w:rsidRPr="00BD274B" w:rsidRDefault="00FF4C61" w:rsidP="00081088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8.11</w:t>
            </w:r>
          </w:p>
        </w:tc>
        <w:tc>
          <w:tcPr>
            <w:tcW w:w="7851" w:type="dxa"/>
          </w:tcPr>
          <w:p w:rsidR="00FF4C61" w:rsidRPr="00BD274B" w:rsidRDefault="00FF4C61" w:rsidP="00FB1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To ensure compliance with statutory requirements and Association policies and procedures.</w:t>
            </w:r>
          </w:p>
        </w:tc>
      </w:tr>
      <w:tr w:rsidR="00FF4C61" w:rsidRPr="00BD274B" w:rsidTr="005F2F0B">
        <w:trPr>
          <w:cantSplit/>
        </w:trPr>
        <w:tc>
          <w:tcPr>
            <w:tcW w:w="675" w:type="dxa"/>
          </w:tcPr>
          <w:p w:rsidR="00FF4C61" w:rsidRPr="00BD274B" w:rsidRDefault="00FF4C61" w:rsidP="00081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</w:tcPr>
          <w:p w:rsidR="00FF4C61" w:rsidRPr="00BD274B" w:rsidRDefault="00FF4C61" w:rsidP="00FB1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159" w:rsidRPr="00BD274B" w:rsidTr="005F2F0B">
        <w:trPr>
          <w:cantSplit/>
        </w:trPr>
        <w:tc>
          <w:tcPr>
            <w:tcW w:w="675" w:type="dxa"/>
          </w:tcPr>
          <w:p w:rsidR="00D71159" w:rsidRPr="00BD274B" w:rsidRDefault="00D71159" w:rsidP="00081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</w:tcPr>
          <w:p w:rsidR="00D71159" w:rsidRPr="00BD274B" w:rsidRDefault="00D71159" w:rsidP="00FB1C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Personal Development</w:t>
            </w:r>
          </w:p>
        </w:tc>
      </w:tr>
      <w:tr w:rsidR="00081088" w:rsidRPr="00BD274B" w:rsidTr="005F2F0B">
        <w:trPr>
          <w:cantSplit/>
        </w:trPr>
        <w:tc>
          <w:tcPr>
            <w:tcW w:w="675" w:type="dxa"/>
          </w:tcPr>
          <w:p w:rsidR="00081088" w:rsidRPr="00BD274B" w:rsidRDefault="007173A2" w:rsidP="00FF4C61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8.1</w:t>
            </w:r>
            <w:r w:rsidR="00FF4C61" w:rsidRPr="00BD27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51" w:type="dxa"/>
          </w:tcPr>
          <w:p w:rsidR="00081088" w:rsidRPr="00BD274B" w:rsidRDefault="00D71159" w:rsidP="00FB1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 xml:space="preserve">To participate in the identification of training requirements and undertake appropriate training and development </w:t>
            </w:r>
          </w:p>
        </w:tc>
      </w:tr>
      <w:tr w:rsidR="00992EB8" w:rsidRPr="00BD274B" w:rsidTr="005F2F0B">
        <w:trPr>
          <w:cantSplit/>
        </w:trPr>
        <w:tc>
          <w:tcPr>
            <w:tcW w:w="675" w:type="dxa"/>
          </w:tcPr>
          <w:p w:rsidR="00992EB8" w:rsidRPr="00BD274B" w:rsidRDefault="00992E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</w:tcPr>
          <w:p w:rsidR="00992EB8" w:rsidRPr="00BD274B" w:rsidRDefault="00992EB8" w:rsidP="00FB1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7173A2" w:rsidP="00FF4C61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8.1</w:t>
            </w:r>
            <w:r w:rsidR="00FF4C61" w:rsidRPr="00BD27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51" w:type="dxa"/>
          </w:tcPr>
          <w:p w:rsidR="005F2F0B" w:rsidRPr="00BD274B" w:rsidRDefault="007173A2" w:rsidP="00FB1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To proactively develop housing management roles and services in response to customer and business needs, and participate in staff and project groups to initiate and develop services.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 w:rsidP="008B6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</w:tcPr>
          <w:p w:rsidR="005F2F0B" w:rsidRPr="00BD274B" w:rsidRDefault="005F2F0B" w:rsidP="00AE1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7173A2" w:rsidP="00FF4C61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8.1</w:t>
            </w:r>
            <w:r w:rsidR="00FF4C61" w:rsidRPr="00BD27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51" w:type="dxa"/>
          </w:tcPr>
          <w:p w:rsidR="005F2F0B" w:rsidRPr="00BD274B" w:rsidRDefault="007173A2" w:rsidP="0054551D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To fully-utilise the computer software options to maximise knowledge and efficiency.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 w:rsidP="008B6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</w:tcPr>
          <w:p w:rsidR="005F2F0B" w:rsidRPr="00BD274B" w:rsidRDefault="005F2F0B" w:rsidP="00992E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9225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8.15</w:t>
            </w:r>
          </w:p>
        </w:tc>
        <w:tc>
          <w:tcPr>
            <w:tcW w:w="7851" w:type="dxa"/>
          </w:tcPr>
          <w:p w:rsidR="005F2F0B" w:rsidRPr="00BD274B" w:rsidRDefault="00A95E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 xml:space="preserve">Operations Team Liaison and Cover 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 w:rsidP="008B6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</w:tcPr>
          <w:p w:rsidR="005F2F0B" w:rsidRPr="00BD274B" w:rsidRDefault="00A95E29" w:rsidP="003F75B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Works with the operations team to maintain a high standard of customer service.</w:t>
            </w:r>
            <w:r w:rsidR="00F07DD2" w:rsidRPr="00BD27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274B">
              <w:rPr>
                <w:rFonts w:ascii="Arial" w:hAnsi="Arial" w:cs="Arial"/>
                <w:sz w:val="22"/>
                <w:szCs w:val="22"/>
              </w:rPr>
              <w:t xml:space="preserve"> Provides cover as required to </w:t>
            </w:r>
            <w:r w:rsidR="00623032">
              <w:rPr>
                <w:rFonts w:ascii="Arial" w:hAnsi="Arial" w:cs="Arial"/>
                <w:sz w:val="22"/>
                <w:szCs w:val="22"/>
              </w:rPr>
              <w:t>deal with</w:t>
            </w:r>
            <w:r w:rsidRPr="00BD274B">
              <w:rPr>
                <w:rFonts w:ascii="Arial" w:hAnsi="Arial" w:cs="Arial"/>
                <w:sz w:val="22"/>
                <w:szCs w:val="22"/>
              </w:rPr>
              <w:t xml:space="preserve"> response repair requests and general enquiries.</w:t>
            </w: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</w:tcPr>
          <w:p w:rsidR="005F2F0B" w:rsidRPr="00BD274B" w:rsidRDefault="005F2F0B" w:rsidP="005455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7851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2F0B" w:rsidRPr="00BD274B" w:rsidTr="005F2F0B">
        <w:trPr>
          <w:cantSplit/>
        </w:trPr>
        <w:tc>
          <w:tcPr>
            <w:tcW w:w="675" w:type="dxa"/>
          </w:tcPr>
          <w:p w:rsidR="005F2F0B" w:rsidRPr="00BD274B" w:rsidRDefault="005F2F0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7851" w:type="dxa"/>
          </w:tcPr>
          <w:p w:rsidR="005F2F0B" w:rsidRPr="00BD274B" w:rsidRDefault="005F2F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 xml:space="preserve">The above duties and responsibilities do not include or define all tasks which may be required to be undertaken by the </w:t>
            </w:r>
            <w:proofErr w:type="spellStart"/>
            <w:r w:rsidRPr="00BD274B">
              <w:rPr>
                <w:rFonts w:ascii="Arial" w:hAnsi="Arial" w:cs="Arial"/>
                <w:sz w:val="22"/>
                <w:szCs w:val="22"/>
              </w:rPr>
              <w:t>Postholder</w:t>
            </w:r>
            <w:proofErr w:type="spellEnd"/>
            <w:r w:rsidRPr="00BD274B">
              <w:rPr>
                <w:rFonts w:ascii="Arial" w:hAnsi="Arial" w:cs="Arial"/>
                <w:sz w:val="22"/>
                <w:szCs w:val="22"/>
              </w:rPr>
              <w:t>.</w:t>
            </w:r>
            <w:r w:rsidR="00F07DD2" w:rsidRPr="00BD27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274B">
              <w:rPr>
                <w:rFonts w:ascii="Arial" w:hAnsi="Arial" w:cs="Arial"/>
                <w:sz w:val="22"/>
                <w:szCs w:val="22"/>
              </w:rPr>
              <w:t xml:space="preserve"> Duties and responsibilities may vary without changing the general character of the post.</w:t>
            </w:r>
          </w:p>
        </w:tc>
      </w:tr>
    </w:tbl>
    <w:p w:rsidR="00E60507" w:rsidRDefault="00E60507">
      <w:pPr>
        <w:rPr>
          <w:rFonts w:ascii="Arial" w:hAnsi="Arial" w:cs="Arial"/>
          <w:b/>
          <w:sz w:val="22"/>
          <w:szCs w:val="22"/>
        </w:rPr>
      </w:pPr>
    </w:p>
    <w:p w:rsidR="00E60507" w:rsidRDefault="00E605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D274B" w:rsidRPr="00BD274B" w:rsidRDefault="00BD274B">
      <w:pPr>
        <w:rPr>
          <w:rFonts w:ascii="Arial" w:hAnsi="Arial" w:cs="Arial"/>
          <w:b/>
          <w:sz w:val="22"/>
          <w:szCs w:val="22"/>
        </w:rPr>
      </w:pPr>
    </w:p>
    <w:p w:rsidR="00BD274B" w:rsidRPr="00BD274B" w:rsidRDefault="00BD274B" w:rsidP="00BD274B">
      <w:pPr>
        <w:jc w:val="center"/>
        <w:rPr>
          <w:rFonts w:ascii="Arial" w:hAnsi="Arial" w:cs="Arial"/>
          <w:b/>
          <w:sz w:val="22"/>
          <w:szCs w:val="22"/>
        </w:rPr>
      </w:pPr>
      <w:r w:rsidRPr="00BD274B">
        <w:rPr>
          <w:rFonts w:ascii="Arial" w:hAnsi="Arial" w:cs="Arial"/>
          <w:b/>
          <w:sz w:val="22"/>
          <w:szCs w:val="22"/>
        </w:rPr>
        <w:t>Person Specification: Housing Officer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093"/>
        <w:gridCol w:w="3094"/>
        <w:gridCol w:w="1671"/>
      </w:tblGrid>
      <w:tr w:rsidR="00BD274B" w:rsidRPr="00BD274B" w:rsidTr="00BD27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74B">
              <w:rPr>
                <w:rFonts w:ascii="Arial" w:hAnsi="Arial" w:cs="Arial"/>
                <w:b/>
                <w:sz w:val="22"/>
                <w:szCs w:val="22"/>
              </w:rPr>
              <w:t>Measured</w:t>
            </w:r>
          </w:p>
        </w:tc>
      </w:tr>
      <w:tr w:rsidR="00BD274B" w:rsidRPr="00BD274B" w:rsidTr="00BD27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74B" w:rsidRPr="00BD274B" w:rsidTr="00BD27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Education/Training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50" w:rsidRPr="00BD274B" w:rsidRDefault="00BD274B" w:rsidP="00AC0A50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Good standard of education</w:t>
            </w:r>
            <w:r w:rsidR="00AC0A50">
              <w:rPr>
                <w:rFonts w:ascii="Arial" w:hAnsi="Arial" w:cs="Arial"/>
                <w:sz w:val="22"/>
                <w:szCs w:val="22"/>
              </w:rPr>
              <w:t>, l</w:t>
            </w:r>
            <w:r w:rsidRPr="00BD274B">
              <w:rPr>
                <w:rFonts w:ascii="Arial" w:hAnsi="Arial" w:cs="Arial"/>
                <w:sz w:val="22"/>
                <w:szCs w:val="22"/>
              </w:rPr>
              <w:t xml:space="preserve">iteracy and numeracy 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CIH/degree in Housing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 w:rsidR="00BD274B" w:rsidRPr="00BD274B" w:rsidTr="00BD27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74B" w:rsidRPr="00BD274B" w:rsidTr="00BD27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Front line customer service in housing (or similar)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Working with vulnerable client groups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Liaising with statutory and voluntary agencies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Complaint management and resolution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Social Housing/Housing Management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Debt collection/arrears recovery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Resident Involvement Activities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Analysing and diagnosing problems and implementing solutions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74B" w:rsidRPr="00BD274B" w:rsidTr="00BD27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74B" w:rsidRPr="00BD274B" w:rsidTr="00BD27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Excellent IT skills -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Word, Excel, E-mail, Internet, and Social Media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Report writing and collection of performance information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IT skills -Publisher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74B" w:rsidRPr="00BD274B" w:rsidTr="00BD27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74B" w:rsidRPr="00BD274B" w:rsidTr="00BD27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Special Knowledge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Diversity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Data Protection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Welfare Benefits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Housing Law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74B" w:rsidRPr="00BD274B" w:rsidTr="00BD27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74B" w:rsidRPr="00BD274B" w:rsidTr="00BD27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Personal Skills/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Attributes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Assertive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Resilient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Able to empathise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Flexible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 xml:space="preserve">Able to prioritise and work to deadlines 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Lone working ability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Team work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</w:tc>
      </w:tr>
      <w:tr w:rsidR="00BD274B" w:rsidRPr="00BD274B" w:rsidTr="00BD27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74B" w:rsidRPr="00BD274B" w:rsidTr="00BD27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Physical Attributes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Mobile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 xml:space="preserve">Sighted </w:t>
            </w:r>
          </w:p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 xml:space="preserve">Hearing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74B" w:rsidRPr="00BD274B" w:rsidTr="00BD27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74B" w:rsidRPr="00BD274B" w:rsidTr="00BD27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  <w:r w:rsidRPr="00BD274B">
              <w:rPr>
                <w:rFonts w:ascii="Arial" w:hAnsi="Arial" w:cs="Arial"/>
                <w:sz w:val="22"/>
                <w:szCs w:val="22"/>
              </w:rPr>
              <w:t>Full Driving License and car for work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4B" w:rsidRPr="00BD274B" w:rsidRDefault="00BD27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8B5" w:rsidRPr="00BD274B" w:rsidRDefault="000B18B5">
      <w:pPr>
        <w:jc w:val="center"/>
        <w:rPr>
          <w:rFonts w:ascii="Arial" w:hAnsi="Arial" w:cs="Arial"/>
          <w:b/>
          <w:sz w:val="22"/>
          <w:szCs w:val="22"/>
        </w:rPr>
      </w:pPr>
    </w:p>
    <w:sectPr w:rsidR="000B18B5" w:rsidRPr="00BD274B" w:rsidSect="00DC3DD2">
      <w:footerReference w:type="default" r:id="rId7"/>
      <w:pgSz w:w="11906" w:h="16838"/>
      <w:pgMar w:top="680" w:right="1797" w:bottom="107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59" w:rsidRDefault="00D71159" w:rsidP="00E347E6">
      <w:pPr>
        <w:pStyle w:val="BalloonText"/>
      </w:pPr>
      <w:r>
        <w:separator/>
      </w:r>
    </w:p>
  </w:endnote>
  <w:endnote w:type="continuationSeparator" w:id="0">
    <w:p w:rsidR="00D71159" w:rsidRDefault="00D71159" w:rsidP="00E347E6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59" w:rsidRDefault="00D71159" w:rsidP="00F52C49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</w:p>
  <w:p w:rsidR="00D71159" w:rsidRDefault="00D71159" w:rsidP="00F52C49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Hull Churches Housing Association Ltd </w:t>
    </w:r>
    <w:smartTag w:uri="urn:schemas-microsoft-com:office:smarttags" w:element="address">
      <w:smartTag w:uri="urn:schemas-microsoft-com:office:smarttags" w:element="Street">
        <w:r>
          <w:rPr>
            <w:sz w:val="16"/>
            <w:szCs w:val="16"/>
          </w:rPr>
          <w:t>–31 Beverley Road</w:t>
        </w:r>
      </w:smartTag>
      <w:r>
        <w:rPr>
          <w:sz w:val="16"/>
          <w:szCs w:val="16"/>
        </w:rPr>
        <w:t xml:space="preserve">, </w:t>
      </w:r>
      <w:smartTag w:uri="urn:schemas-microsoft-com:office:smarttags" w:element="City">
        <w:r>
          <w:rPr>
            <w:sz w:val="16"/>
            <w:szCs w:val="16"/>
          </w:rPr>
          <w:t>Kingston</w:t>
        </w:r>
      </w:smartTag>
    </w:smartTag>
    <w:r>
      <w:rPr>
        <w:sz w:val="16"/>
        <w:szCs w:val="16"/>
      </w:rPr>
      <w:t xml:space="preserve">- upon- </w:t>
    </w:r>
    <w:smartTag w:uri="urn:schemas-microsoft-com:office:smarttags" w:element="place">
      <w:smartTag w:uri="urn:schemas-microsoft-com:office:smarttags" w:element="City">
        <w:r>
          <w:rPr>
            <w:sz w:val="16"/>
            <w:szCs w:val="16"/>
          </w:rPr>
          <w:t>Hull</w:t>
        </w:r>
      </w:smartTag>
    </w:smartTag>
    <w:r>
      <w:rPr>
        <w:sz w:val="16"/>
        <w:szCs w:val="16"/>
      </w:rPr>
      <w:t>. HU3 1XH</w:t>
    </w:r>
  </w:p>
  <w:p w:rsidR="00D71159" w:rsidRDefault="00D71159" w:rsidP="00F52C49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An exempt charity. Registry of Friendly Societies No 22797R, Registered under the Housing Act 1974 - L3305</w:t>
    </w: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29"/>
      <w:gridCol w:w="4085"/>
      <w:gridCol w:w="2090"/>
    </w:tblGrid>
    <w:tr w:rsidR="00D71159" w:rsidTr="00E347E6">
      <w:tc>
        <w:tcPr>
          <w:tcW w:w="2998" w:type="dxa"/>
        </w:tcPr>
        <w:p w:rsidR="00D71159" w:rsidRDefault="00D71159" w:rsidP="00E347E6">
          <w:pPr>
            <w:pStyle w:val="Footer"/>
            <w:ind w:right="360"/>
            <w:rPr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431800" cy="357505"/>
                <wp:effectExtent l="1905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5" w:type="dxa"/>
        </w:tcPr>
        <w:p w:rsidR="00D71159" w:rsidRPr="006B7A57" w:rsidRDefault="00D71159" w:rsidP="00E347E6">
          <w:pPr>
            <w:pStyle w:val="Footer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6B7A57">
            <w:rPr>
              <w:rFonts w:ascii="Arial" w:hAnsi="Arial" w:cs="Arial"/>
              <w:sz w:val="16"/>
              <w:szCs w:val="16"/>
            </w:rPr>
            <w:object w:dxaOrig="8085" w:dyaOrig="12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5.5pt;height:18.75pt" o:ole="">
                <v:imagedata r:id="rId2" o:title=""/>
              </v:shape>
              <o:OLEObject Type="Embed" ProgID="AcroExch.Document.DC" ShapeID="_x0000_i1025" DrawAspect="Content" ObjectID="_1583240306" r:id="rId3"/>
            </w:object>
          </w:r>
        </w:p>
      </w:tc>
      <w:tc>
        <w:tcPr>
          <w:tcW w:w="2982" w:type="dxa"/>
        </w:tcPr>
        <w:p w:rsidR="00D71159" w:rsidRDefault="00D71159" w:rsidP="00E347E6">
          <w:pPr>
            <w:pStyle w:val="Footer"/>
            <w:ind w:right="360"/>
            <w:jc w:val="right"/>
            <w:rPr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n-GB"/>
            </w:rPr>
            <w:drawing>
              <wp:inline distT="0" distB="0" distL="0" distR="0">
                <wp:extent cx="505460" cy="408940"/>
                <wp:effectExtent l="19050" t="0" r="8890" b="0"/>
                <wp:docPr id="3" name="Picture 3" descr="National Housing F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ational Housing F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1159" w:rsidRDefault="00D71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59" w:rsidRDefault="00D71159" w:rsidP="00E347E6">
      <w:pPr>
        <w:pStyle w:val="BalloonText"/>
      </w:pPr>
      <w:r>
        <w:separator/>
      </w:r>
    </w:p>
  </w:footnote>
  <w:footnote w:type="continuationSeparator" w:id="0">
    <w:p w:rsidR="00D71159" w:rsidRDefault="00D71159" w:rsidP="00E347E6">
      <w:pPr>
        <w:pStyle w:val="Balloo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0BF"/>
    <w:multiLevelType w:val="hybridMultilevel"/>
    <w:tmpl w:val="EEEC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6289"/>
    <w:multiLevelType w:val="singleLevel"/>
    <w:tmpl w:val="17B018A6"/>
    <w:lvl w:ilvl="0">
      <w:start w:val="1"/>
      <w:numFmt w:val="bullet"/>
      <w:lvlText w:val=""/>
      <w:lvlJc w:val="left"/>
      <w:pPr>
        <w:tabs>
          <w:tab w:val="num" w:pos="927"/>
        </w:tabs>
        <w:ind w:left="360" w:firstLine="207"/>
      </w:pPr>
      <w:rPr>
        <w:rFonts w:ascii="Wingdings" w:hAnsi="Wingdings" w:hint="default"/>
      </w:rPr>
    </w:lvl>
  </w:abstractNum>
  <w:abstractNum w:abstractNumId="2" w15:restartNumberingAfterBreak="0">
    <w:nsid w:val="556E164C"/>
    <w:multiLevelType w:val="singleLevel"/>
    <w:tmpl w:val="EE70DE20"/>
    <w:lvl w:ilvl="0">
      <w:start w:val="76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37"/>
    <w:rsid w:val="0001328F"/>
    <w:rsid w:val="00030EB2"/>
    <w:rsid w:val="00037BEC"/>
    <w:rsid w:val="00081088"/>
    <w:rsid w:val="00091895"/>
    <w:rsid w:val="000B18B5"/>
    <w:rsid w:val="001126EB"/>
    <w:rsid w:val="00127C37"/>
    <w:rsid w:val="00193C3B"/>
    <w:rsid w:val="001C6831"/>
    <w:rsid w:val="001D618F"/>
    <w:rsid w:val="001D7475"/>
    <w:rsid w:val="001E7F21"/>
    <w:rsid w:val="001F5901"/>
    <w:rsid w:val="00215A1C"/>
    <w:rsid w:val="00244F71"/>
    <w:rsid w:val="00244FA0"/>
    <w:rsid w:val="00276C27"/>
    <w:rsid w:val="00293216"/>
    <w:rsid w:val="002C2400"/>
    <w:rsid w:val="00327C9C"/>
    <w:rsid w:val="003F75BA"/>
    <w:rsid w:val="00456A6E"/>
    <w:rsid w:val="004843A8"/>
    <w:rsid w:val="00511950"/>
    <w:rsid w:val="0054417C"/>
    <w:rsid w:val="0054551D"/>
    <w:rsid w:val="00546613"/>
    <w:rsid w:val="005C7C58"/>
    <w:rsid w:val="005F2F0B"/>
    <w:rsid w:val="00614F61"/>
    <w:rsid w:val="00623032"/>
    <w:rsid w:val="006536BF"/>
    <w:rsid w:val="00666C2D"/>
    <w:rsid w:val="0067088E"/>
    <w:rsid w:val="006A0AB0"/>
    <w:rsid w:val="006A1F1F"/>
    <w:rsid w:val="006C1884"/>
    <w:rsid w:val="006C5D45"/>
    <w:rsid w:val="006E679B"/>
    <w:rsid w:val="00711FC9"/>
    <w:rsid w:val="007173A2"/>
    <w:rsid w:val="00732141"/>
    <w:rsid w:val="00763745"/>
    <w:rsid w:val="00773565"/>
    <w:rsid w:val="007A4891"/>
    <w:rsid w:val="007E3DA1"/>
    <w:rsid w:val="0083263D"/>
    <w:rsid w:val="00833092"/>
    <w:rsid w:val="00865734"/>
    <w:rsid w:val="00884E13"/>
    <w:rsid w:val="008A61D8"/>
    <w:rsid w:val="008B6530"/>
    <w:rsid w:val="008D5167"/>
    <w:rsid w:val="00922592"/>
    <w:rsid w:val="00945466"/>
    <w:rsid w:val="00992EB8"/>
    <w:rsid w:val="00994B25"/>
    <w:rsid w:val="009E51D8"/>
    <w:rsid w:val="009F6E76"/>
    <w:rsid w:val="00A62AE7"/>
    <w:rsid w:val="00A95E29"/>
    <w:rsid w:val="00AA48A6"/>
    <w:rsid w:val="00AC0A50"/>
    <w:rsid w:val="00AE1B06"/>
    <w:rsid w:val="00AF259A"/>
    <w:rsid w:val="00B073B0"/>
    <w:rsid w:val="00B268B6"/>
    <w:rsid w:val="00B61493"/>
    <w:rsid w:val="00B62EA1"/>
    <w:rsid w:val="00B634EF"/>
    <w:rsid w:val="00B85401"/>
    <w:rsid w:val="00BD274B"/>
    <w:rsid w:val="00C14A78"/>
    <w:rsid w:val="00C81737"/>
    <w:rsid w:val="00CA5D0A"/>
    <w:rsid w:val="00CE184F"/>
    <w:rsid w:val="00CE25BF"/>
    <w:rsid w:val="00D0632A"/>
    <w:rsid w:val="00D22D9B"/>
    <w:rsid w:val="00D25097"/>
    <w:rsid w:val="00D71159"/>
    <w:rsid w:val="00DC3DD2"/>
    <w:rsid w:val="00DD2505"/>
    <w:rsid w:val="00E02D56"/>
    <w:rsid w:val="00E04411"/>
    <w:rsid w:val="00E347E6"/>
    <w:rsid w:val="00E563A2"/>
    <w:rsid w:val="00E60507"/>
    <w:rsid w:val="00E64A1A"/>
    <w:rsid w:val="00E70D56"/>
    <w:rsid w:val="00F07DD2"/>
    <w:rsid w:val="00F41638"/>
    <w:rsid w:val="00F43516"/>
    <w:rsid w:val="00F52C49"/>
    <w:rsid w:val="00FB1C69"/>
    <w:rsid w:val="00FD07A4"/>
    <w:rsid w:val="00FE56A0"/>
    <w:rsid w:val="00FF4C61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39938"/>
    <o:shapelayout v:ext="edit">
      <o:idmap v:ext="edit" data="1"/>
    </o:shapelayout>
  </w:shapeDefaults>
  <w:decimalSymbol w:val="."/>
  <w:listSeparator w:val=","/>
  <w15:docId w15:val="{02F8EEB3-ECD3-4C65-AF82-F8D4B050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D9B"/>
    <w:rPr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D22D9B"/>
    <w:pPr>
      <w:keepNext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D22D9B"/>
    <w:pPr>
      <w:keepNext/>
      <w:outlineLvl w:val="1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22D9B"/>
    <w:rPr>
      <w:rFonts w:ascii="Tempus Sans ITC" w:hAnsi="Tempus Sans ITC"/>
      <w:b/>
      <w:bCs/>
      <w:color w:val="008000"/>
      <w:sz w:val="20"/>
      <w:szCs w:val="20"/>
    </w:rPr>
  </w:style>
  <w:style w:type="paragraph" w:styleId="Title">
    <w:name w:val="Title"/>
    <w:basedOn w:val="Normal"/>
    <w:qFormat/>
    <w:rsid w:val="00D22D9B"/>
    <w:pPr>
      <w:jc w:val="center"/>
    </w:pPr>
    <w:rPr>
      <w:b/>
      <w:bCs/>
    </w:rPr>
  </w:style>
  <w:style w:type="paragraph" w:styleId="BodyText">
    <w:name w:val="Body Text"/>
    <w:basedOn w:val="Normal"/>
    <w:rsid w:val="00D22D9B"/>
    <w:rPr>
      <w:sz w:val="24"/>
      <w:szCs w:val="24"/>
    </w:rPr>
  </w:style>
  <w:style w:type="paragraph" w:styleId="BalloonText">
    <w:name w:val="Balloon Text"/>
    <w:basedOn w:val="Normal"/>
    <w:semiHidden/>
    <w:rsid w:val="00545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52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C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5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Hull Churches Housing Association</vt:lpstr>
    </vt:vector>
  </TitlesOfParts>
  <Company>Hull Churches HA Ltd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Hull Churches Housing Association</dc:title>
  <dc:creator>Sarah</dc:creator>
  <cp:lastModifiedBy>Mary Vessey</cp:lastModifiedBy>
  <cp:revision>2</cp:revision>
  <cp:lastPrinted>2010-06-08T10:41:00Z</cp:lastPrinted>
  <dcterms:created xsi:type="dcterms:W3CDTF">2018-03-22T16:12:00Z</dcterms:created>
  <dcterms:modified xsi:type="dcterms:W3CDTF">2018-03-22T16:12:00Z</dcterms:modified>
</cp:coreProperties>
</file>